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B4229F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F9102A">
              <w:rPr>
                <w:rFonts w:ascii="Times New Roman" w:hAnsi="Times New Roman"/>
                <w:b/>
                <w:bCs/>
                <w:lang w:val="en-US"/>
              </w:rPr>
              <w:t>E</w:t>
            </w:r>
            <w:r w:rsidR="00DD28C7">
              <w:rPr>
                <w:rFonts w:ascii="Times New Roman" w:hAnsi="Times New Roman"/>
                <w:b/>
                <w:bCs/>
                <w:lang w:val="en-US"/>
              </w:rPr>
              <w:t>5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F9102A" w:rsidRPr="00F9102A">
              <w:rPr>
                <w:rFonts w:ascii="Times New Roman" w:hAnsi="Times New Roman"/>
              </w:rPr>
              <w:t xml:space="preserve">Travaux de menuiseries bois, PVC, vitrerie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A658A4">
              <w:rPr>
                <w:rFonts w:ascii="Times New Roman" w:hAnsi="Times New Roman"/>
              </w:rPr>
              <w:t>’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</w:t>
            </w:r>
            <w:r w:rsidR="00A658A4">
              <w:rPr>
                <w:rFonts w:ascii="Times New Roman" w:hAnsi="Times New Roman"/>
              </w:rPr>
              <w:t xml:space="preserve">e </w:t>
            </w:r>
            <w:r w:rsidR="00DD28C7">
              <w:rPr>
                <w:rFonts w:ascii="Times New Roman" w:hAnsi="Times New Roman"/>
              </w:rPr>
              <w:t>Creil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</w:t>
      </w:r>
      <w:r w:rsidRPr="00221BEB">
        <w:rPr>
          <w:rFonts w:ascii="Times New Roman" w:hAnsi="Times New Roman"/>
          <w:color w:val="000000"/>
          <w:lang w:eastAsia="fr-FR"/>
        </w:rPr>
        <w:t>de</w:t>
      </w:r>
      <w:r w:rsidR="00221BEB" w:rsidRPr="00221BEB">
        <w:rPr>
          <w:rFonts w:ascii="Times New Roman" w:hAnsi="Times New Roman"/>
          <w:color w:val="000000"/>
          <w:lang w:eastAsia="fr-FR"/>
        </w:rPr>
        <w:t> : 1 666 666,66</w:t>
      </w:r>
      <w:r w:rsidR="00F96BE2" w:rsidRPr="00221BEB">
        <w:rPr>
          <w:rFonts w:ascii="Times New Roman" w:hAnsi="Times New Roman"/>
        </w:rPr>
        <w:t xml:space="preserve"> </w:t>
      </w:r>
      <w:r w:rsidR="00CD350D" w:rsidRPr="00221BEB">
        <w:rPr>
          <w:rFonts w:ascii="Times New Roman" w:hAnsi="Times New Roman"/>
        </w:rPr>
        <w:t xml:space="preserve">€ </w:t>
      </w:r>
      <w:r w:rsidRPr="00221BEB">
        <w:rPr>
          <w:rFonts w:ascii="Times New Roman" w:hAnsi="Times New Roman"/>
          <w:color w:val="000000"/>
          <w:lang w:eastAsia="fr-FR"/>
        </w:rPr>
        <w:t>HT.</w:t>
      </w:r>
    </w:p>
    <w:p w:rsidR="008B30D7" w:rsidRPr="007F0E74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</w:t>
      </w:r>
      <w:r w:rsidRPr="007F0E74">
        <w:rPr>
          <w:szCs w:val="22"/>
        </w:rPr>
        <w:t xml:space="preserve">passation des commandes </w:t>
      </w:r>
    </w:p>
    <w:p w:rsidR="006874E1" w:rsidRPr="007F0E74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F0E74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F0E74">
        <w:rPr>
          <w:rFonts w:ascii="Times New Roman" w:hAnsi="Times New Roman"/>
          <w:color w:val="000000"/>
          <w:lang w:eastAsia="fr-FR"/>
        </w:rPr>
        <w:t>2.4 du CCAP.</w:t>
      </w:r>
      <w:r w:rsidRPr="008B30D7">
        <w:rPr>
          <w:rFonts w:ascii="Times New Roman" w:hAnsi="Times New Roman"/>
          <w:color w:val="000000"/>
          <w:lang w:eastAsia="fr-FR"/>
        </w:rPr>
        <w:t xml:space="preserve">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2-5 - Rabais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7F0E74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7F0E74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7F0E7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E61278" w:rsidRDefault="00E61278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bookmarkStart w:id="1" w:name="_GoBack"/>
      <w:bookmarkEnd w:id="1"/>
    </w:p>
    <w:p w:rsidR="0070164A" w:rsidRP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61278">
      <w:rPr>
        <w:rStyle w:val="Numrodepage"/>
        <w:noProof/>
      </w:rPr>
      <w:t>6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50842"/>
    <w:rsid w:val="00067B67"/>
    <w:rsid w:val="000705D0"/>
    <w:rsid w:val="00077A6F"/>
    <w:rsid w:val="0009071F"/>
    <w:rsid w:val="00094B3A"/>
    <w:rsid w:val="000959B4"/>
    <w:rsid w:val="000A40C3"/>
    <w:rsid w:val="000A6596"/>
    <w:rsid w:val="000C5B76"/>
    <w:rsid w:val="000E0A05"/>
    <w:rsid w:val="000F6FB4"/>
    <w:rsid w:val="0012312C"/>
    <w:rsid w:val="001353E0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21BEB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0E63"/>
    <w:rsid w:val="0046207F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674D2"/>
    <w:rsid w:val="00677B4C"/>
    <w:rsid w:val="006874E1"/>
    <w:rsid w:val="0069550C"/>
    <w:rsid w:val="00695F7D"/>
    <w:rsid w:val="006A475A"/>
    <w:rsid w:val="006D44CA"/>
    <w:rsid w:val="006E64B4"/>
    <w:rsid w:val="0070164A"/>
    <w:rsid w:val="00707806"/>
    <w:rsid w:val="007214B0"/>
    <w:rsid w:val="00723B23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0E74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723C4"/>
    <w:rsid w:val="009E7DEE"/>
    <w:rsid w:val="009F0EBF"/>
    <w:rsid w:val="009F2247"/>
    <w:rsid w:val="009F2C04"/>
    <w:rsid w:val="009F473C"/>
    <w:rsid w:val="00A150F3"/>
    <w:rsid w:val="00A279A5"/>
    <w:rsid w:val="00A3017A"/>
    <w:rsid w:val="00A30452"/>
    <w:rsid w:val="00A3656A"/>
    <w:rsid w:val="00A61925"/>
    <w:rsid w:val="00A658A4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1229C"/>
    <w:rsid w:val="00B4229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28C7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61278"/>
    <w:rsid w:val="00E72DD8"/>
    <w:rsid w:val="00E81287"/>
    <w:rsid w:val="00E860FE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35EF"/>
    <w:rsid w:val="00F8713E"/>
    <w:rsid w:val="00F9102A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7F63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1860D-56E7-4362-BB16-BA5863F9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2</TotalTime>
  <Pages>7</Pages>
  <Words>1507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8</cp:revision>
  <cp:lastPrinted>2021-05-03T15:06:00Z</cp:lastPrinted>
  <dcterms:created xsi:type="dcterms:W3CDTF">2026-01-23T15:35:00Z</dcterms:created>
  <dcterms:modified xsi:type="dcterms:W3CDTF">2026-01-26T10:27:00Z</dcterms:modified>
</cp:coreProperties>
</file>